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t>OBRAZLOŽENJE IZVRŠENJA PRORAČUNA 1.1.2023.-31.12.2023.</w:t>
      </w:r>
    </w:p>
    <w:p/>
    <w:tbl>
      <w:tblPr>
        <w:tblStyle w:val="3"/>
        <w:tblW w:w="8640" w:type="dxa"/>
        <w:tblInd w:w="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995"/>
        <w:gridCol w:w="6645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0" w:type="dxa"/>
            <w:gridSpan w:val="2"/>
            <w:shd w:val="clear" w:color="auto" w:fill="B6DDE8"/>
            <w:noWrap/>
            <w:vAlign w:val="bottom"/>
          </w:tcPr>
          <w:p>
            <w:pPr>
              <w:rPr>
                <w:rFonts w:ascii="Calibri" w:hAnsi="Calibri" w:eastAsia="Calibri" w:cs="Arial"/>
                <w:b/>
                <w:bCs/>
                <w:iCs/>
                <w:sz w:val="28"/>
                <w:szCs w:val="28"/>
              </w:rPr>
            </w:pPr>
            <w:r>
              <w:rPr>
                <w:rFonts w:ascii="Calibri" w:hAnsi="Calibri" w:eastAsia="Calibri" w:cs="Arial"/>
                <w:b/>
                <w:bCs/>
                <w:iCs/>
                <w:sz w:val="28"/>
                <w:szCs w:val="28"/>
              </w:rPr>
              <w:t>RAZDJEL 104 UPRAVNI ODJEL ZA PROSTORNO UREĐENJE I GRADNJU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0" w:type="dxa"/>
            <w:gridSpan w:val="2"/>
            <w:noWrap/>
            <w:vAlign w:val="bottom"/>
          </w:tcPr>
          <w:p>
            <w:pPr>
              <w:rPr>
                <w:rFonts w:ascii="Calibri" w:hAnsi="Calibri" w:eastAsia="Calibri" w:cs="Arial"/>
                <w:b/>
                <w:bCs/>
                <w:iCs/>
              </w:rPr>
            </w:pPr>
          </w:p>
          <w:p>
            <w:pPr>
              <w:rPr>
                <w:rFonts w:ascii="Calibri" w:hAnsi="Calibri" w:eastAsia="Calibri" w:cs="Arial"/>
                <w:b/>
                <w:bCs/>
                <w:iCs/>
                <w:shd w:val="clear" w:color="auto" w:fill="EAF1DD"/>
              </w:rPr>
            </w:pPr>
            <w:r>
              <w:rPr>
                <w:rFonts w:ascii="Calibri" w:hAnsi="Calibri" w:eastAsia="Calibri" w:cs="Arial"/>
                <w:b/>
                <w:bCs/>
                <w:iCs/>
                <w:shd w:val="clear" w:color="auto" w:fill="EAF1DD"/>
              </w:rPr>
              <w:t>GLAVA 10401 UPRAVNI ODJEL ZA PROSTORNO UREĐENJE I GRADNJU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0" w:type="dxa"/>
            <w:gridSpan w:val="2"/>
            <w:noWrap/>
            <w:vAlign w:val="bottom"/>
          </w:tcPr>
          <w:p>
            <w:pPr>
              <w:rPr>
                <w:rFonts w:ascii="Calibri" w:hAnsi="Calibri"/>
                <w:color w:val="ED7D31" w:themeColor="accent2"/>
                <w:lang w:eastAsia="hr-HR"/>
                <w14:textFill>
                  <w14:solidFill>
                    <w14:schemeClr w14:val="accent2"/>
                  </w14:solidFill>
                </w14:textFill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center"/>
          </w:tcPr>
          <w:p>
            <w:pPr>
              <w:rPr>
                <w:rFonts w:ascii="Calibri" w:hAnsi="Calibri" w:eastAsia="Calibri" w:cs="Arial"/>
                <w:b/>
                <w:iCs/>
                <w:color w:val="ED7D31" w:themeColor="accent2"/>
                <w14:textFill>
                  <w14:solidFill>
                    <w14:schemeClr w14:val="accent2"/>
                  </w14:solidFill>
                </w14:textFill>
              </w:rPr>
            </w:pPr>
            <w:r>
              <w:rPr>
                <w:rFonts w:ascii="Calibri" w:hAnsi="Calibri" w:eastAsia="Calibri" w:cs="Arial"/>
                <w:b/>
                <w:iCs/>
                <w:color w:val="ED7D31" w:themeColor="accent2"/>
                <w14:textFill>
                  <w14:solidFill>
                    <w14:schemeClr w14:val="accent2"/>
                  </w14:solidFill>
                </w14:textFill>
              </w:rPr>
              <w:t>Program 1400 - Program građenja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 xml:space="preserve">Aktivnost – </w:t>
            </w:r>
          </w:p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>A140001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>Dokumenti građenja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redovno obavljanje poslova Odjela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Dubrovačko-neretvanska županija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Zakon o prostornom uređenju, Zakon o gradnji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Izvorni plan 2023.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5.309,00 €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Tekući plan 2023.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8.554,00 €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8.553,78 €  (100,00%)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both"/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sredstva su pretežno utrošena na podmirivanje posebnih troškova postupaka nastalih prilikom tehničkog pregleda građevina te na izradu novih kartica za rad u sustavu eDozvola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  <w:tc>
          <w:tcPr>
            <w:tcW w:w="6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  <w:tc>
          <w:tcPr>
            <w:tcW w:w="6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bottom"/>
          </w:tcPr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>Aktivnost -A140002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  <w:vAlign w:val="center"/>
          </w:tcPr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>Ozakonjenje bespravno izgrađenih zgrada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sanacija nezakonite gradnje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Dubrovačko-neretvanska županija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Zakon o postupanju s nezakonito izgrađenim zgradama (N.N. 86/12, 143/13, 65/17, 14/19)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Izvorni plan 2023.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164.301,85 €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Tekući plan 2023.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164.301,85 €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26.925,00 € ( 16,39%)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both"/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sredstva su pretežno utrošena za nabavku računalne opreme za što efikasniji rad na postupcima ozakonjenja bespravno izgrađenih zgrada, a nerealizirana sredstva uglavnom predstavljaju višak prenesenih sredstava iz prethodnih godina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  <w:tc>
          <w:tcPr>
            <w:tcW w:w="6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>Aktivnost - A140003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>Procjena vrijednosti nekretnina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 xml:space="preserve">Reguliranje načina procijene vrijednosti nekretnina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Dubrovačko-neretvanska županija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Zakon o procijeni vrijednosti nekretnina (N.N. 78/15)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Izvorni plan 2023.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1.200,00 €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Tekući plan 2023.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1.140,00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781,30  (68,54%)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both"/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 xml:space="preserve">sredstva su utrošena za isplatu naknada članovima Procjeniteljskog povjerenstva za tržište nekretnina na području Dubrovačko – neretvanske županije, za sudjelovanje na sjednicama povjerenstva </w:t>
            </w:r>
          </w:p>
          <w:p>
            <w:pPr>
              <w:jc w:val="both"/>
              <w:rPr>
                <w:rFonts w:ascii="Calibri" w:hAnsi="Calibri" w:eastAsia="Calibri" w:cs="Arial"/>
                <w:i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  <w:tc>
          <w:tcPr>
            <w:tcW w:w="6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>Kapitalni projekt – K140004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>Razvoj GIS sustava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efikasnija analiza zahtjeva korisnika, daljnji razvoj sustava i baza podataka, razvoj GIS aplikacija, prostorne analize, vizualizacije.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Gdi GISDATA d.o.o. temeljem ugovora o javnoj nabavi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Izvorni plan 2023.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66.361,00 €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Tekući plan 2023.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66.023,00 €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Realizirno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53.413,66 € (80,90%)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both"/>
              <w:rPr>
                <w:rFonts w:ascii="Calibri" w:hAnsi="Calibri" w:eastAsia="Calibri" w:cs="Arial"/>
                <w:iCs/>
                <w:highlight w:val="yellow"/>
              </w:rPr>
            </w:pPr>
            <w:r>
              <w:rPr>
                <w:rFonts w:ascii="Calibri" w:hAnsi="Calibri" w:eastAsia="Calibri" w:cs="Arial"/>
                <w:iCs/>
              </w:rPr>
              <w:t xml:space="preserve">sukladno Ugovoru o javnoj nabavi za usluge održavanja GIS sustava 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8" w:hRule="atLeast"/>
        </w:trPr>
        <w:tc>
          <w:tcPr>
            <w:tcW w:w="1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  <w:tc>
          <w:tcPr>
            <w:tcW w:w="6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8640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  <w:color w:val="ED7D31" w:themeColor="accent2"/>
                <w14:textFill>
                  <w14:solidFill>
                    <w14:schemeClr w14:val="accent2"/>
                  </w14:solidFill>
                </w14:textFill>
              </w:rPr>
              <w:t>Program 1401 - Program prostornog planiranja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>Aktivnost - K140102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  <w:vAlign w:val="bottom"/>
          </w:tcPr>
          <w:p>
            <w:pPr>
              <w:rPr>
                <w:rFonts w:ascii="Calibri" w:hAnsi="Calibri" w:eastAsia="Calibri" w:cs="Arial"/>
                <w:b/>
                <w:iCs/>
                <w:color w:val="FF0000"/>
              </w:rPr>
            </w:pPr>
            <w:r>
              <w:rPr>
                <w:rFonts w:ascii="Calibri" w:hAnsi="Calibri" w:eastAsia="Calibri" w:cs="Arial"/>
                <w:b/>
                <w:iCs/>
                <w:color w:val="FF0000"/>
              </w:rPr>
              <w:t>Strateška procjena utjecaja na okoliš PP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Cilj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održivo upravljanje prostorom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Nositelj aktivnosti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Dubrovačko-neretvanska županija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 xml:space="preserve">Zakonska osnova 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Zakon o prostornom uređenju, Zakon o zaštiti okoliša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Izvorni plan 2023.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35.200,00 €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Tekući plan 2023.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33.440,00 €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5" w:hRule="atLeast"/>
        </w:trPr>
        <w:tc>
          <w:tcPr>
            <w:tcW w:w="199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Realizirano</w:t>
            </w:r>
          </w:p>
        </w:tc>
        <w:tc>
          <w:tcPr>
            <w:tcW w:w="6645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bottom"/>
          </w:tcPr>
          <w:p>
            <w:pPr>
              <w:rPr>
                <w:rFonts w:ascii="Calibri" w:hAnsi="Calibri" w:eastAsia="Calibri" w:cs="Arial"/>
                <w:b/>
                <w:iCs/>
              </w:rPr>
            </w:pPr>
            <w:r>
              <w:rPr>
                <w:rFonts w:ascii="Calibri" w:hAnsi="Calibri" w:eastAsia="Calibri" w:cs="Arial"/>
                <w:b/>
                <w:iCs/>
              </w:rPr>
              <w:t>6.450,00 ( 19,29%)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93" w:hRule="atLeast"/>
        </w:trPr>
        <w:tc>
          <w:tcPr>
            <w:tcW w:w="199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  <w:r>
              <w:rPr>
                <w:rFonts w:ascii="Calibri" w:hAnsi="Calibri" w:eastAsia="Calibri" w:cs="Arial"/>
                <w:iCs/>
              </w:rPr>
              <w:t>Izvršenje aktivnosti</w:t>
            </w:r>
          </w:p>
        </w:tc>
        <w:tc>
          <w:tcPr>
            <w:tcW w:w="664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bottom"/>
          </w:tcPr>
          <w:p>
            <w:pPr>
              <w:jc w:val="both"/>
              <w:rPr>
                <w:rFonts w:ascii="Calibri" w:hAnsi="Calibri" w:eastAsia="Calibri" w:cs="Arial"/>
                <w:iCs/>
                <w:highlight w:val="yellow"/>
              </w:rPr>
            </w:pPr>
            <w:r>
              <w:rPr>
                <w:rFonts w:ascii="Calibri" w:hAnsi="Calibri" w:eastAsia="Calibri" w:cs="Arial"/>
                <w:iCs/>
              </w:rPr>
              <w:t>Ugovor o nabavi usluge izrade strateške studije utjecaja Ciljanih izmjena i dopuna Prostornog plana Dubrovačko – neretvanske županije na okoliš sklopljen 1. prosinca 2023., te je navedeni rashod nastao sukladno predmetnoj obvezi iz ugovora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5" w:hRule="atLeast"/>
        </w:trPr>
        <w:tc>
          <w:tcPr>
            <w:tcW w:w="199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  <w:tc>
          <w:tcPr>
            <w:tcW w:w="664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rPr>
                <w:rFonts w:ascii="Calibri" w:hAnsi="Calibri" w:eastAsia="Calibri" w:cs="Arial"/>
                <w:iCs/>
              </w:rPr>
            </w:pPr>
          </w:p>
        </w:tc>
      </w:tr>
    </w:tbl>
    <w:p/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  <w:r>
        <w:rPr>
          <w:b/>
          <w:bCs/>
          <w:sz w:val="24"/>
          <w:szCs w:val="24"/>
        </w:rPr>
        <w:t xml:space="preserve">NAPOMENA: </w:t>
      </w:r>
      <w:r>
        <w:rPr>
          <w:bCs/>
          <w:sz w:val="24"/>
          <w:szCs w:val="24"/>
        </w:rPr>
        <w:t xml:space="preserve">oba programa (Program građenja i Program prostornog planiranja zajedno sa pripadajućim aktivnostima), u „Provedbenom programu Dubrovačko-neretvanske županije za razdoblje do 2025. godine“, iz prosinca 2021., spadaju pod cilj - </w:t>
      </w:r>
      <w:r>
        <w:rPr>
          <w:bCs/>
          <w:i/>
          <w:sz w:val="24"/>
          <w:szCs w:val="24"/>
        </w:rPr>
        <w:t>4.1. Razvoj sustava</w:t>
      </w: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  <w:r>
        <w:rPr>
          <w:bCs/>
          <w:i/>
          <w:sz w:val="24"/>
          <w:szCs w:val="24"/>
        </w:rPr>
        <w:t xml:space="preserve">prostornog planiranja i upravljanja imovinom te jačanje kvalitete institucija u javnom sektoru, </w:t>
      </w:r>
      <w:r>
        <w:rPr>
          <w:bCs/>
          <w:sz w:val="24"/>
          <w:szCs w:val="24"/>
        </w:rPr>
        <w:t>te mjeru</w:t>
      </w:r>
      <w:r>
        <w:rPr>
          <w:bCs/>
          <w:i/>
          <w:sz w:val="24"/>
          <w:szCs w:val="24"/>
        </w:rPr>
        <w:t xml:space="preserve">  - 4.1.2. – Razvoj sustava prostornog planiranja i upravljanja imovinom. </w:t>
      </w: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</w:p>
    <w:p>
      <w:pPr>
        <w:pStyle w:val="7"/>
        <w:shd w:val="clear" w:color="auto" w:fill="FFFFFF"/>
        <w:jc w:val="both"/>
        <w:rPr>
          <w:bCs/>
          <w:i/>
          <w:sz w:val="24"/>
          <w:szCs w:val="24"/>
        </w:rPr>
      </w:pPr>
      <w:bookmarkStart w:id="3" w:name="_GoBack"/>
      <w:bookmarkEnd w:id="3"/>
    </w:p>
    <w:tbl>
      <w:tblPr>
        <w:tblStyle w:val="3"/>
        <w:tblW w:w="8640" w:type="dxa"/>
        <w:tblInd w:w="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4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0" w:type="dxa"/>
            <w:shd w:val="clear" w:color="auto" w:fill="B6DDE8"/>
            <w:noWrap/>
            <w:vAlign w:val="bottom"/>
          </w:tcPr>
          <w:p>
            <w:pPr>
              <w:rPr>
                <w:rFonts w:eastAsia="Calibri" w:asciiTheme="minorHAnsi" w:hAnsiTheme="minorHAnsi" w:cstheme="minorHAnsi"/>
                <w:b/>
                <w:bCs/>
                <w:iCs/>
                <w:sz w:val="28"/>
                <w:szCs w:val="28"/>
              </w:rPr>
            </w:pPr>
            <w:r>
              <w:rPr>
                <w:rFonts w:eastAsia="Calibri" w:asciiTheme="minorHAnsi" w:hAnsiTheme="minorHAnsi" w:cstheme="minorHAnsi"/>
                <w:b/>
                <w:bCs/>
                <w:iCs/>
                <w:sz w:val="28"/>
                <w:szCs w:val="28"/>
              </w:rPr>
              <w:t>RAZDJEL 104. UPRAVNI ODJEL ZA PROSTORNO UREĐENJE I GRADNJU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0" w:type="dxa"/>
            <w:noWrap/>
            <w:vAlign w:val="bottom"/>
          </w:tcPr>
          <w:p>
            <w:pPr>
              <w:rPr>
                <w:rFonts w:eastAsia="Calibri" w:asciiTheme="minorHAnsi" w:hAnsiTheme="minorHAnsi" w:cstheme="minorHAnsi"/>
                <w:b/>
                <w:bCs/>
                <w:iCs/>
                <w:color w:val="FF0000"/>
                <w:sz w:val="28"/>
                <w:szCs w:val="28"/>
                <w:shd w:val="clear" w:color="auto" w:fill="EAF1DD"/>
              </w:rPr>
            </w:pPr>
          </w:p>
          <w:p>
            <w:pPr>
              <w:rPr>
                <w:rFonts w:eastAsia="Calibri" w:asciiTheme="minorHAnsi" w:hAnsiTheme="minorHAnsi" w:cstheme="minorHAnsi"/>
                <w:b/>
                <w:bCs/>
                <w:iCs/>
                <w:color w:val="FF0000"/>
                <w:sz w:val="28"/>
                <w:szCs w:val="28"/>
                <w:shd w:val="clear" w:color="auto" w:fill="EAF1DD"/>
              </w:rPr>
            </w:pPr>
            <w:r>
              <w:rPr>
                <w:rFonts w:eastAsia="Calibri" w:asciiTheme="minorHAnsi" w:hAnsiTheme="minorHAnsi" w:cstheme="minorHAnsi"/>
                <w:b/>
                <w:bCs/>
                <w:iCs/>
                <w:color w:val="FF0000"/>
                <w:sz w:val="28"/>
                <w:szCs w:val="28"/>
                <w:shd w:val="clear" w:color="auto" w:fill="EAF1DD"/>
              </w:rPr>
              <w:t>GLAVA 10402. ZAVOD ZA PROSTORNO UREĐENJE DNŽ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0" w:hRule="atLeast"/>
        </w:trPr>
        <w:tc>
          <w:tcPr>
            <w:tcW w:w="8640" w:type="dxa"/>
            <w:noWrap/>
            <w:vAlign w:val="bottom"/>
          </w:tcPr>
          <w:p>
            <w:pPr>
              <w:rPr>
                <w:rFonts w:eastAsia="Calibri" w:asciiTheme="minorHAnsi" w:hAnsiTheme="minorHAnsi" w:cstheme="minorHAnsi"/>
                <w:b/>
                <w:bCs/>
                <w:iCs/>
                <w:color w:val="FF0000"/>
                <w:sz w:val="28"/>
                <w:szCs w:val="28"/>
                <w:shd w:val="clear" w:color="auto" w:fill="EAF1DD"/>
              </w:rPr>
            </w:pPr>
          </w:p>
        </w:tc>
      </w:tr>
    </w:tbl>
    <w:p>
      <w:pPr>
        <w:spacing w:after="160" w:line="259" w:lineRule="auto"/>
        <w:rPr>
          <w:rFonts w:asciiTheme="minorHAnsi" w:hAnsiTheme="minorHAnsi" w:cstheme="minorHAnsi"/>
          <w:sz w:val="22"/>
          <w:szCs w:val="22"/>
        </w:rPr>
      </w:pPr>
    </w:p>
    <w:tbl>
      <w:tblPr>
        <w:tblStyle w:val="3"/>
        <w:tblW w:w="9118" w:type="dxa"/>
        <w:tblInd w:w="98" w:type="dxa"/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82"/>
        <w:gridCol w:w="7226"/>
        <w:gridCol w:w="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  <w:t>Program 1402 – Redovna djelatnost Zavoda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118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  <w:t>Aktivnost - 140201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  <w:t>Plaće i ostali rashodi za zaposlene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ind w:hanging="2"/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Plaće za redovno obavljanje poslova Zavoda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Izvorni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sz w:val="22"/>
                <w:lang w:eastAsia="hr-HR"/>
              </w:rPr>
              <w:t xml:space="preserve">369.726,00 </w:t>
            </w: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Tekući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307.537,00 €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10" w:hRule="atLeast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Theme="minorHAnsi" w:hAnsiTheme="minorHAnsi" w:cstheme="minorHAnsi"/>
                <w:b/>
                <w:bCs/>
                <w:sz w:val="22"/>
              </w:rPr>
              <w:t xml:space="preserve">338.418,99 € </w:t>
            </w:r>
            <w:r>
              <w:rPr>
                <w:rFonts w:asciiTheme="minorHAnsi" w:hAnsiTheme="minorHAnsi" w:cstheme="minorHAnsi"/>
                <w:b/>
                <w:sz w:val="22"/>
                <w:lang w:eastAsia="hr-HR"/>
              </w:rPr>
              <w:t>(91.53%)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Sredstva su utrošena na plaće i ostale rashode za zaposlene.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  <w:t>Aktivnost -140202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  <w:t>Materijalni rashodi i oprema za provođenje programa JU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jc w:val="both"/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Redovno obavljanje poslova Zavoda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Izvorni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Arimo" w:asciiTheme="minorHAnsi" w:hAnsiTheme="minorHAnsi" w:cstheme="minorHAnsi"/>
                <w:b/>
                <w:sz w:val="22"/>
              </w:rPr>
              <w:t xml:space="preserve">62.189,00 </w:t>
            </w: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Tekući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62.189,00 </w:t>
            </w: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Arimo" w:asciiTheme="minorHAnsi" w:hAnsiTheme="minorHAnsi" w:cstheme="minorHAnsi"/>
                <w:b/>
                <w:sz w:val="22"/>
              </w:rPr>
              <w:t>60.218,51 € (96,83%)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58" w:hRule="atLeast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Sredstva su utrošena na ugovorene usluge za rad Zavoda: održavanje računalne opreme, naknada članovima Upravnog vijeća, tekući troškovi telefona, pošte, banke, računovodstvenog servisa, nabavka sitnog inventara, članarine, reprezentacija, osiguranja automobila, nabava energije i slično….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  <w:t>Tekući projekt - 140301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FFFFFF"/>
          </w:tcPr>
          <w:p>
            <w:pP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iCs/>
                <w:sz w:val="22"/>
                <w:szCs w:val="22"/>
              </w:rPr>
              <w:t>PP DNŽ - Stručna podloga - analize i ocjene postojećeg stanja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bookmarkStart w:id="0" w:name="_Hlk164173732"/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Izrada CIDPPDNŽ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bookmarkStart w:id="1" w:name="_Hlk164173355"/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Izvorni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34.841,00 </w:t>
            </w: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Tekući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 xml:space="preserve">34.841,00 </w:t>
            </w: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</w:tcPr>
          <w:p>
            <w:pP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color w:val="333333"/>
                <w:sz w:val="20"/>
                <w:szCs w:val="20"/>
              </w:rPr>
              <w:t>8.501,72</w:t>
            </w: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€ ( 24,40%)</w:t>
            </w:r>
          </w:p>
        </w:tc>
      </w:tr>
      <w:bookmarkEnd w:id="1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458" w:hRule="atLeast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Sredstva su utrošena na aktivnosti na provedbu postupka OSPUO, donošenja Odluke o izradi na Županijskoj skupštini, te pribavljanju podloga i materijala za izrdau CIDPPDNŽ.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  <w:trHeight w:val="317" w:hRule="atLeast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</w:p>
        </w:tc>
      </w:tr>
      <w:bookmarkEnd w:id="0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bookmarkStart w:id="2" w:name="_Hlk130816442"/>
            <w: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  <w:t>Tekući projekt - 140302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  <w:t>RH – PP NP Mljet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Izrada PP NP Mljet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Izvorni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30.700,00 €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Tekući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30.700,00 €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6.484,17€ ( 21,12%)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Sredstva su utrošena na nabavu informatičke opreme te druge opreme za rad Zavoda.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</w:p>
        </w:tc>
      </w:tr>
      <w:bookmarkEnd w:id="2"/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  <w:t>Tekući projekt - 140304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  <w:t>RH – Stručna podloga - IGP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Izrada CIDPPDNŽ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Izvorni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66.900,00 €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Tekući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66.900,00 €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0,00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Ovaj projekt je izrađen unutar Zavoda i nisu utoršena sredstva na vanjske suradnike.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  <w:t>Tekući projekt - 140305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b/>
                <w:bCs/>
                <w:iCs/>
                <w:sz w:val="22"/>
                <w:szCs w:val="22"/>
              </w:rPr>
              <w:t>RH- Stručna podloga-Dubrovnik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Cilj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Izrada CIDPPDNŽ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Nositelj aktivnosti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JU Zavod za prostorno uređenje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 xml:space="preserve">Zakonska osnova 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Zakon o prostornom uređenju (NN 153/13, 65/17, 114/18, 39/19. 98/19, 67/23), Zakon o NIPP-u (NN 56/13, 52/18, 50/20), Pravilnik o izdavanju suglasnosti za obavljanje stručnih poslova prostornog uređenja (NN 136/15).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Izvorni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24.700,00 €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Tekući plan 2023.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24.700,00 €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Realizirano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8.107,84 (32,83%)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gridAfter w:val="1"/>
          <w:wAfter w:w="10" w:type="dxa"/>
        </w:trPr>
        <w:tc>
          <w:tcPr>
            <w:tcW w:w="188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Izvršenje aktivnosti</w:t>
            </w:r>
          </w:p>
        </w:tc>
        <w:tc>
          <w:tcPr>
            <w:tcW w:w="0" w:type="auto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</w:tcPr>
          <w:p>
            <w:pP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</w:pPr>
            <w:r>
              <w:rPr>
                <w:rFonts w:eastAsia="Calibri" w:asciiTheme="minorHAnsi" w:hAnsiTheme="minorHAnsi" w:cstheme="minorHAnsi"/>
                <w:iCs/>
                <w:sz w:val="22"/>
                <w:szCs w:val="22"/>
              </w:rPr>
              <w:t>Sredstva su utrošena na nabavu usluge za informatičku podršku u izradi kartografskih prikaza.</w:t>
            </w:r>
          </w:p>
        </w:tc>
      </w:tr>
    </w:tbl>
    <w:p>
      <w:pPr>
        <w:rPr>
          <w:rFonts w:asciiTheme="minorHAnsi" w:hAnsiTheme="minorHAnsi" w:cstheme="minorHAnsi"/>
          <w:sz w:val="22"/>
          <w:szCs w:val="22"/>
        </w:rPr>
      </w:pPr>
    </w:p>
    <w:p/>
    <w:p/>
    <w:sectPr>
      <w:pgSz w:w="11906" w:h="16838"/>
      <w:pgMar w:top="1417" w:right="1417" w:bottom="1417" w:left="1417" w:header="708" w:footer="708" w:gutter="0"/>
      <w:cols w:space="708" w:num="1"/>
      <w:docGrid w:linePitch="360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default"/>
    <w:sig w:usb0="E0002EFF" w:usb1="C000785B" w:usb2="00000009" w:usb3="00000000" w:csb0="400001FF" w:csb1="FFFF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SimSun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Arial">
    <w:panose1 w:val="020B0604020202020204"/>
    <w:charset w:val="00"/>
    <w:family w:val="swiss"/>
    <w:pitch w:val="default"/>
    <w:sig w:usb0="E0002EFF" w:usb1="C000785B" w:usb2="00000009" w:usb3="00000000" w:csb0="400001FF" w:csb1="FFFF0000"/>
  </w:font>
  <w:font w:name="黑体">
    <w:altName w:val="SimSun"/>
    <w:panose1 w:val="02010600030101010101"/>
    <w:charset w:val="86"/>
    <w:family w:val="auto"/>
    <w:pitch w:val="default"/>
    <w:sig w:usb0="00000001" w:usb1="080E0000" w:usb2="00000010" w:usb3="00000000" w:csb0="00040000" w:csb1="00000000"/>
  </w:font>
  <w:font w:name="Courier New">
    <w:panose1 w:val="02070309020205020404"/>
    <w:charset w:val="00"/>
    <w:family w:val="modern"/>
    <w:pitch w:val="default"/>
    <w:sig w:usb0="E0002EFF" w:usb1="C0007843" w:usb2="00000009" w:usb3="00000000" w:csb0="400001FF" w:csb1="FFFF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Calibri">
    <w:panose1 w:val="020F0502020204030204"/>
    <w:charset w:val="86"/>
    <w:family w:val="swiss"/>
    <w:pitch w:val="default"/>
    <w:sig w:usb0="E4002EFF" w:usb1="C000247B" w:usb2="00000009" w:usb3="00000000" w:csb0="200001FF" w:csb1="00000000"/>
  </w:font>
  <w:font w:name="等线">
    <w:altName w:val="Microsoft YaHei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Calibri">
    <w:panose1 w:val="020F0502020204030204"/>
    <w:charset w:val="EE"/>
    <w:family w:val="swiss"/>
    <w:pitch w:val="default"/>
    <w:sig w:usb0="E4002EFF" w:usb1="C000247B" w:usb2="00000009" w:usb3="00000000" w:csb0="200001FF" w:csb1="00000000"/>
  </w:font>
  <w:font w:name="Calibri">
    <w:panose1 w:val="020F0502020204030204"/>
    <w:charset w:val="00"/>
    <w:family w:val="auto"/>
    <w:pitch w:val="default"/>
    <w:sig w:usb0="E4002EFF" w:usb1="C000247B" w:usb2="00000009" w:usb3="00000000" w:csb0="200001FF" w:csb1="00000000"/>
  </w:font>
  <w:font w:name="Segoe UI">
    <w:panose1 w:val="020B0502040204020203"/>
    <w:charset w:val="EE"/>
    <w:family w:val="swiss"/>
    <w:pitch w:val="default"/>
    <w:sig w:usb0="E4002EFF" w:usb1="C000E47F" w:usb2="00000009" w:usb3="00000000" w:csb0="200001FF" w:csb1="00000000"/>
  </w:font>
  <w:font w:name="Arial">
    <w:panose1 w:val="020B0604020202020204"/>
    <w:charset w:val="EE"/>
    <w:family w:val="swiss"/>
    <w:pitch w:val="default"/>
    <w:sig w:usb0="E0002EFF" w:usb1="C000785B" w:usb2="00000009" w:usb3="00000000" w:csb0="400001FF" w:csb1="FFFF0000"/>
  </w:font>
  <w:font w:name="Arimo">
    <w:altName w:val="Times New Roman"/>
    <w:panose1 w:val="00000000000000000000"/>
    <w:charset w:val="00"/>
    <w:family w:val="roman"/>
    <w:pitch w:val="default"/>
    <w:sig w:usb0="00000000" w:usb1="00000000" w:usb2="00000000" w:usb3="00000000" w:csb0="0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cumentProtection w:enforcement="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49BD"/>
    <w:rsid w:val="0001521D"/>
    <w:rsid w:val="00092A85"/>
    <w:rsid w:val="00093016"/>
    <w:rsid w:val="00175DED"/>
    <w:rsid w:val="00176A35"/>
    <w:rsid w:val="00182B0A"/>
    <w:rsid w:val="001A3B27"/>
    <w:rsid w:val="001F56E0"/>
    <w:rsid w:val="002368EC"/>
    <w:rsid w:val="00247384"/>
    <w:rsid w:val="002A2BD6"/>
    <w:rsid w:val="003C46FF"/>
    <w:rsid w:val="004367E8"/>
    <w:rsid w:val="00452A83"/>
    <w:rsid w:val="00582923"/>
    <w:rsid w:val="005B43C5"/>
    <w:rsid w:val="005C748E"/>
    <w:rsid w:val="00630964"/>
    <w:rsid w:val="006F4B8D"/>
    <w:rsid w:val="0071737B"/>
    <w:rsid w:val="00783524"/>
    <w:rsid w:val="007C7DE2"/>
    <w:rsid w:val="00863827"/>
    <w:rsid w:val="008F2718"/>
    <w:rsid w:val="00900E76"/>
    <w:rsid w:val="00917453"/>
    <w:rsid w:val="00970493"/>
    <w:rsid w:val="009A49BD"/>
    <w:rsid w:val="00A142F2"/>
    <w:rsid w:val="00A47C08"/>
    <w:rsid w:val="00A77DDD"/>
    <w:rsid w:val="00AF2436"/>
    <w:rsid w:val="00BA5F1A"/>
    <w:rsid w:val="00BB46C5"/>
    <w:rsid w:val="00BB7DF2"/>
    <w:rsid w:val="00CD209F"/>
    <w:rsid w:val="00D24B9D"/>
    <w:rsid w:val="00D4666B"/>
    <w:rsid w:val="00D57D84"/>
    <w:rsid w:val="00DB792D"/>
    <w:rsid w:val="00E30110"/>
    <w:rsid w:val="00E30CEC"/>
    <w:rsid w:val="00E35BA5"/>
    <w:rsid w:val="00E87688"/>
    <w:rsid w:val="00F04871"/>
    <w:rsid w:val="00F11BF1"/>
    <w:rsid w:val="00F24741"/>
    <w:rsid w:val="00F62C94"/>
    <w:rsid w:val="00FF64D8"/>
    <w:rsid w:val="63522F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HAnsi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qFormat="1" w:unhideWhenUsed="0" w:uiPriority="0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val="hr-HR" w:eastAsia="en-US" w:bidi="ar-SA"/>
    </w:rPr>
  </w:style>
  <w:style w:type="character" w:default="1" w:styleId="2">
    <w:name w:val="Default Paragraph Font"/>
    <w:semiHidden/>
    <w:unhideWhenUsed/>
    <w:uiPriority w:val="1"/>
  </w:style>
  <w:style w:type="table" w:default="1" w:styleId="3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4">
    <w:name w:val="Balloon Text"/>
    <w:basedOn w:val="1"/>
    <w:link w:val="6"/>
    <w:semiHidden/>
    <w:unhideWhenUsed/>
    <w:uiPriority w:val="99"/>
    <w:rPr>
      <w:rFonts w:ascii="Segoe UI" w:hAnsi="Segoe UI" w:cs="Segoe UI"/>
      <w:sz w:val="18"/>
      <w:szCs w:val="18"/>
    </w:rPr>
  </w:style>
  <w:style w:type="paragraph" w:customStyle="1" w:styleId="5">
    <w:name w:val="Table Paragraph"/>
    <w:basedOn w:val="1"/>
    <w:qFormat/>
    <w:uiPriority w:val="1"/>
    <w:pPr>
      <w:widowControl w:val="0"/>
    </w:pPr>
    <w:rPr>
      <w:rFonts w:ascii="Calibri" w:hAnsi="Calibri" w:eastAsia="Calibri"/>
      <w:sz w:val="22"/>
      <w:szCs w:val="22"/>
      <w:lang w:val="en-US"/>
    </w:rPr>
  </w:style>
  <w:style w:type="character" w:customStyle="1" w:styleId="6">
    <w:name w:val="Tekst balončića Char"/>
    <w:basedOn w:val="2"/>
    <w:link w:val="4"/>
    <w:semiHidden/>
    <w:uiPriority w:val="99"/>
    <w:rPr>
      <w:rFonts w:ascii="Segoe UI" w:hAnsi="Segoe UI" w:eastAsia="Times New Roman" w:cs="Segoe UI"/>
      <w:sz w:val="18"/>
      <w:szCs w:val="18"/>
    </w:rPr>
  </w:style>
  <w:style w:type="paragraph" w:styleId="7">
    <w:name w:val="No Spacing"/>
    <w:link w:val="8"/>
    <w:qFormat/>
    <w:uiPriority w:val="0"/>
    <w:pPr>
      <w:spacing w:after="0" w:line="240" w:lineRule="auto"/>
    </w:pPr>
    <w:rPr>
      <w:rFonts w:ascii="Calibri" w:hAnsi="Calibri" w:eastAsia="Times New Roman" w:cs="Times New Roman"/>
      <w:sz w:val="22"/>
      <w:szCs w:val="22"/>
      <w:lang w:val="hr-HR" w:eastAsia="en-US" w:bidi="ar-SA"/>
    </w:rPr>
  </w:style>
  <w:style w:type="character" w:customStyle="1" w:styleId="8">
    <w:name w:val="Bez proreda Char"/>
    <w:link w:val="7"/>
    <w:locked/>
    <w:uiPriority w:val="0"/>
    <w:rPr>
      <w:rFonts w:ascii="Calibri" w:hAnsi="Calibri" w:eastAsia="Times New Roman" w:cs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Grizli777</Company>
  <Pages>4</Pages>
  <Words>504</Words>
  <Characters>2873</Characters>
  <Lines>23</Lines>
  <Paragraphs>6</Paragraphs>
  <TotalTime>0</TotalTime>
  <ScaleCrop>false</ScaleCrop>
  <LinksUpToDate>false</LinksUpToDate>
  <CharactersWithSpaces>3371</CharactersWithSpaces>
  <Application>WPS Office_12.2.0.16909_F1E327BC-269C-435d-A152-05C5408002CA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2024-04-15T11:02:00Z</dcterms:created>
  <dc:creator>Windows User</dc:creator>
  <cp:lastModifiedBy>Anamary Ljumović</cp:lastModifiedBy>
  <cp:lastPrinted>2023-03-23T09:12:00Z</cp:lastPrinted>
  <dcterms:modified xsi:type="dcterms:W3CDTF">2024-05-09T07:12:46Z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1033-12.2.0.16909</vt:lpwstr>
  </property>
  <property fmtid="{D5CDD505-2E9C-101B-9397-08002B2CF9AE}" pid="3" name="ICV">
    <vt:lpwstr>98EE54907542425A8944135F9A18BC7A_13</vt:lpwstr>
  </property>
</Properties>
</file>